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7C" w:rsidRDefault="003F4401" w:rsidP="00D95D7C">
      <w:pPr>
        <w:keepNext/>
        <w:keepLines/>
        <w:shd w:val="clear" w:color="auto" w:fill="FFFFFF"/>
        <w:spacing w:before="115" w:after="1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Предпринимательство</w:t>
      </w:r>
    </w:p>
    <w:p w:rsidR="003F4401" w:rsidRDefault="003F4401" w:rsidP="00D95D7C">
      <w:pPr>
        <w:keepNext/>
        <w:keepLines/>
        <w:shd w:val="clear" w:color="auto" w:fill="FFFFFF"/>
        <w:spacing w:before="115" w:after="1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401" w:rsidRPr="003F4401" w:rsidRDefault="003F4401" w:rsidP="003F44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eastAsia="ar-SA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650"/>
        <w:gridCol w:w="850"/>
        <w:gridCol w:w="851"/>
        <w:gridCol w:w="815"/>
        <w:gridCol w:w="780"/>
        <w:gridCol w:w="850"/>
        <w:gridCol w:w="951"/>
        <w:gridCol w:w="992"/>
        <w:gridCol w:w="12"/>
      </w:tblGrid>
      <w:tr w:rsidR="00910AA3" w:rsidRPr="003F4401" w:rsidTr="00935A30">
        <w:trPr>
          <w:trHeight w:val="213"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</w:tcPr>
          <w:p w:rsidR="00910AA3" w:rsidRPr="003F4401" w:rsidRDefault="00910AA3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650" w:type="dxa"/>
            <w:vMerge w:val="restart"/>
            <w:shd w:val="clear" w:color="auto" w:fill="auto"/>
            <w:vAlign w:val="center"/>
          </w:tcPr>
          <w:p w:rsidR="00910AA3" w:rsidRPr="003F4401" w:rsidRDefault="00910AA3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6101" w:type="dxa"/>
            <w:gridSpan w:val="8"/>
            <w:shd w:val="clear" w:color="auto" w:fill="auto"/>
          </w:tcPr>
          <w:p w:rsidR="00910AA3" w:rsidRPr="003F4401" w:rsidRDefault="00910AA3" w:rsidP="00910AA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Год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vMerge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50" w:type="dxa"/>
            <w:vMerge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15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78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951" w:type="dxa"/>
            <w:shd w:val="clear" w:color="auto" w:fill="auto"/>
          </w:tcPr>
          <w:p w:rsidR="003F4401" w:rsidRPr="00910AA3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910AA3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/>
                <w:sz w:val="24"/>
                <w:szCs w:val="24"/>
                <w:lang w:eastAsia="ar-SA"/>
              </w:rPr>
              <w:t>2025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 xml:space="preserve">Доля среднесписочной численности работников малых и средних предприятий в среднесписочной численности работников всех предприятий и организаций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  <w:t>25,54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25,54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зарегистрированных субъектов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359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375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910AA3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910AA3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430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Объем выделяемых средств из бюджетов всех уровней направляемых на поддержку предпринимательства, тыс.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4753,15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3617,77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4268,17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3015,76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3450,45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  <w:t xml:space="preserve">  3450,45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0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субъектов, которым оказана данная поддержка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 xml:space="preserve">  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3F4401" w:rsidP="00910A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0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Оборот субъектов малого и среднего предпринимательства, млн. руб.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361,38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361,38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446,05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479,06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>-</w:t>
            </w:r>
          </w:p>
        </w:tc>
      </w:tr>
      <w:tr w:rsidR="003F4401" w:rsidRPr="003F4401" w:rsidTr="00666671">
        <w:trPr>
          <w:gridAfter w:val="1"/>
          <w:wAfter w:w="12" w:type="dxa"/>
          <w:jc w:val="center"/>
        </w:trPr>
        <w:tc>
          <w:tcPr>
            <w:tcW w:w="421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50" w:type="dxa"/>
            <w:shd w:val="clear" w:color="auto" w:fill="auto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24"/>
                <w:szCs w:val="24"/>
                <w:lang w:eastAsia="ar-SA"/>
              </w:rPr>
              <w:t>Количество плательщиков налога на профессиональный доход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sz w:val="18"/>
                <w:szCs w:val="18"/>
                <w:lang w:eastAsia="ar-SA"/>
              </w:rPr>
              <w:t>891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>1352</w:t>
            </w:r>
          </w:p>
          <w:p w:rsidR="003F4401" w:rsidRPr="003F4401" w:rsidRDefault="003F4401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>(42 ИП)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F4401" w:rsidRPr="003F4401" w:rsidRDefault="003F4401" w:rsidP="003F4401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  <w:t>1268</w:t>
            </w:r>
          </w:p>
          <w:p w:rsidR="003F4401" w:rsidRPr="003F4401" w:rsidRDefault="003F4401" w:rsidP="003F4401">
            <w:pPr>
              <w:suppressAutoHyphens/>
              <w:spacing w:after="0" w:line="240" w:lineRule="auto"/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lang w:eastAsia="ar-SA"/>
              </w:rPr>
              <w:t>(37 ИП)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F4401" w:rsidRPr="003F4401" w:rsidRDefault="00910AA3" w:rsidP="003F440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>1735</w:t>
            </w:r>
          </w:p>
          <w:p w:rsidR="003F4401" w:rsidRPr="003F4401" w:rsidRDefault="003F4401" w:rsidP="00910AA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</w:pPr>
            <w:r w:rsidRPr="003F4401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ar-SA"/>
              </w:rPr>
              <w:t xml:space="preserve">(45 ИП) </w:t>
            </w:r>
          </w:p>
        </w:tc>
      </w:tr>
    </w:tbl>
    <w:p w:rsidR="003F4401" w:rsidRPr="003F4401" w:rsidRDefault="003F4401" w:rsidP="003F44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3F4401" w:rsidRPr="003F4401" w:rsidRDefault="0027783A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01.01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МР Аскинский район насчитывает 175 ед. предприятий розничной торговли, общей торговой площадью 11,83 тыс. кв. м, 54 предприятия общественного питания, включая предприятия социальной сферы, на </w:t>
      </w:r>
      <w:r w:rsidR="003F4401" w:rsidRPr="003F440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2446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посадочных мест, один сельскохозяйственный рынок. Фактическая обеспеченность населения района площадью стационарных торговых объектов составила 521,55 кв. м на 1 тыс. чел. (при нормативе 306 кв. м на 1 тыс. чел.). </w:t>
      </w:r>
    </w:p>
    <w:p w:rsidR="003F4401" w:rsidRPr="003F4401" w:rsidRDefault="0027783A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По состоянию на 01.01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 в районе зарегистрировано 4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30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субъектов</w:t>
      </w:r>
      <w:r w:rsid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>малого и среднего предпринимательства, из них 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67 ИП, 63</w:t>
      </w:r>
      <w:r w:rsidR="003F4401"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юр. лиц. </w:t>
      </w:r>
      <w:r w:rsidR="003F4401" w:rsidRPr="003F4401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Количество плательщиков налога на профессиональный доход -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1735           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(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>в том числе 45 ИП).</w:t>
      </w:r>
    </w:p>
    <w:p w:rsidR="003F4401" w:rsidRPr="003F4401" w:rsidRDefault="003F4401" w:rsidP="003F44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440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Доля занятых в малом бизнесе от общей численности занятых в экономике муниципального района Аскинский район, составляет 39,91%. 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Одним из показателей уровня благосостояния жителей района является показатель розничного товарооборота. В районе на сегодняшний день сформирована достаточно развитая сеть торговых предприятий, характеризующаяся различными видами и форматами торговли. Торговым обслуживанием населения района занимается 176 предприятий розничной торговли.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Малый бизнес формирует более 80% оборота розничной торговли района.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Оборот розничной торговли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 </w:t>
      </w:r>
      <w:r w:rsidR="007A1A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итогам 12</w:t>
      </w: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месяцев 2025 года составил </w:t>
      </w:r>
      <w:r w:rsidR="007A1A12" w:rsidRPr="007A1A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1585</w:t>
      </w:r>
      <w:r w:rsidR="007A1A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,3 млн. рублей или 110,2</w:t>
      </w: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% к уровню 2024 года.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сегодняшний день рынок общественного питания в районе представлен 8 предприятиями общедоступной сети, с различным уровнем обслуживания, качеством продукции, разнообразием предоставляемых услуг. </w:t>
      </w:r>
    </w:p>
    <w:p w:rsidR="003F4401" w:rsidRPr="003F4401" w:rsidRDefault="003F4401" w:rsidP="003F4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состоянию на 1 января 202</w:t>
      </w:r>
      <w:r w:rsidR="007A1A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bookmarkStart w:id="0" w:name="_GoBack"/>
      <w:bookmarkEnd w:id="0"/>
      <w:r w:rsidRPr="003F440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года обеспеченность населения района посадочными местами в предприятиях общественного питания общедоступной сети составляет 27 мест на 1000 жителей. </w:t>
      </w:r>
    </w:p>
    <w:p w:rsidR="003F4401" w:rsidRDefault="003F4401" w:rsidP="00D95D7C">
      <w:pPr>
        <w:keepNext/>
        <w:keepLines/>
        <w:shd w:val="clear" w:color="auto" w:fill="FFFFFF"/>
        <w:spacing w:before="115" w:after="11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F4401" w:rsidSect="00E0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97D"/>
    <w:multiLevelType w:val="hybridMultilevel"/>
    <w:tmpl w:val="F47C020E"/>
    <w:lvl w:ilvl="0" w:tplc="503C6A1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70"/>
    <w:rsid w:val="0027783A"/>
    <w:rsid w:val="00292070"/>
    <w:rsid w:val="002A2D4B"/>
    <w:rsid w:val="003F4401"/>
    <w:rsid w:val="00620C92"/>
    <w:rsid w:val="007A1A12"/>
    <w:rsid w:val="00910AA3"/>
    <w:rsid w:val="009212A6"/>
    <w:rsid w:val="00D95D7C"/>
    <w:rsid w:val="00DF3B0B"/>
    <w:rsid w:val="00E0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A53B"/>
  <w15:docId w15:val="{A145D8EB-194B-42FF-87C5-B00580C6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</dc:creator>
  <cp:lastModifiedBy>Admin</cp:lastModifiedBy>
  <cp:revision>5</cp:revision>
  <dcterms:created xsi:type="dcterms:W3CDTF">2025-12-19T10:50:00Z</dcterms:created>
  <dcterms:modified xsi:type="dcterms:W3CDTF">2026-03-16T07:18:00Z</dcterms:modified>
</cp:coreProperties>
</file>