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6AB" w:rsidRPr="001856AB" w:rsidRDefault="001856AB" w:rsidP="00185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за призывы к введению мер ограничительного характера в отношении РФ</w:t>
      </w:r>
    </w:p>
    <w:p w:rsidR="001856AB" w:rsidRPr="001856AB" w:rsidRDefault="001856AB" w:rsidP="001856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AB">
        <w:rPr>
          <w:rFonts w:ascii="Times New Roman" w:eastAsia="Times New Roman" w:hAnsi="Times New Roman" w:cs="Times New Roman"/>
          <w:sz w:val="28"/>
          <w:szCs w:val="28"/>
          <w:lang w:eastAsia="ru-RU"/>
        </w:rPr>
        <w:t>С 04.03.2022 установлена уголовная ответственность за призывы к введению мер ограничительного характера в отношении Российской Федерации, ее граждан или юридических лиц (ст. 284.2 УК РФ)</w:t>
      </w:r>
    </w:p>
    <w:p w:rsidR="001856AB" w:rsidRPr="001856AB" w:rsidRDefault="001856AB" w:rsidP="001856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наказание предусмотрено в виде 3-х лет лишения свободы со штрафом 200 тыс. руб. </w:t>
      </w:r>
    </w:p>
    <w:p w:rsidR="001856AB" w:rsidRPr="001856AB" w:rsidRDefault="001856AB" w:rsidP="001856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по названной статье наступает за действия, совершенные лицом после привлечения его к административной ответственности за аналогичное деяние в течение одного года.</w:t>
      </w:r>
    </w:p>
    <w:p w:rsidR="001856AB" w:rsidRDefault="001856AB" w:rsidP="001856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Компетенцией в расследовании уголовных дел наделены следователи Следственного Комитета России и органов внутренних дел.</w:t>
      </w:r>
    </w:p>
    <w:p w:rsidR="001856AB" w:rsidRDefault="001856AB" w:rsidP="001856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6AB" w:rsidRPr="001856AB" w:rsidRDefault="001856AB" w:rsidP="00185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2D369E" w:rsidRDefault="002D369E"/>
    <w:sectPr w:rsidR="002D3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AB"/>
    <w:rsid w:val="001856AB"/>
    <w:rsid w:val="002D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18E99-650C-495C-951F-BFFF51C5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2022-05-03T14:41:00Z</dcterms:created>
  <dcterms:modified xsi:type="dcterms:W3CDTF">2022-05-03T14:42:00Z</dcterms:modified>
</cp:coreProperties>
</file>